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9"/>
        <w:ind w:left="1843" w:right="1848"/>
        <w:jc w:val="center"/>
      </w:pPr>
      <w:bookmarkStart w:id="0" w:name="_GoBack"/>
      <w:bookmarkEnd w:id="0"/>
      <w:r>
        <w:t>SCUOLA DI SPECIALIZZAZIONE IN DIRITTO CIVILE</w:t>
      </w:r>
    </w:p>
    <w:p>
      <w:pPr>
        <w:spacing w:before="52"/>
        <w:ind w:left="3162"/>
        <w:rPr>
          <w:b/>
          <w:sz w:val="24"/>
        </w:rPr>
      </w:pPr>
      <w:r>
        <w:rPr>
          <w:b/>
          <w:sz w:val="24"/>
        </w:rPr>
        <w:t>Programmi dei Corsi A.A. 2023/24</w:t>
      </w:r>
    </w:p>
    <w:p>
      <w:pPr>
        <w:pStyle w:val="5"/>
        <w:rPr>
          <w:b/>
          <w:sz w:val="33"/>
        </w:rPr>
      </w:pPr>
    </w:p>
    <w:p>
      <w:pPr>
        <w:ind w:left="1843" w:right="1848"/>
        <w:jc w:val="center"/>
        <w:rPr>
          <w:b/>
          <w:sz w:val="24"/>
        </w:rPr>
      </w:pPr>
      <w:r>
        <w:rPr>
          <w:b/>
          <w:sz w:val="24"/>
        </w:rPr>
        <w:t>III ANNO</w:t>
      </w:r>
    </w:p>
    <w:p>
      <w:pPr>
        <w:pStyle w:val="5"/>
        <w:spacing w:before="5"/>
        <w:rPr>
          <w:b/>
          <w:sz w:val="26"/>
        </w:rPr>
      </w:pPr>
    </w:p>
    <w:p>
      <w:pPr>
        <w:ind w:left="3165"/>
        <w:rPr>
          <w:b/>
          <w:sz w:val="24"/>
        </w:rPr>
      </w:pPr>
      <w:r>
        <w:rPr>
          <w:b/>
          <w:sz w:val="24"/>
        </w:rPr>
        <w:t>Attività formativa comune in materia di: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1"/>
        <w:rPr>
          <w:b/>
          <w:sz w:val="29"/>
        </w:rPr>
      </w:pPr>
    </w:p>
    <w:p>
      <w:pPr>
        <w:spacing w:before="90"/>
        <w:ind w:left="114"/>
        <w:rPr>
          <w:b/>
          <w:sz w:val="24"/>
        </w:rPr>
      </w:pPr>
      <w:r>
        <w:rPr>
          <w:b/>
          <w:spacing w:val="-187"/>
          <w:sz w:val="24"/>
          <w:u w:val="single"/>
        </w:rPr>
        <w:t>O</w:t>
      </w:r>
      <w:r>
        <w:rPr>
          <w:b/>
          <w:spacing w:val="125"/>
          <w:sz w:val="24"/>
        </w:rPr>
        <w:t xml:space="preserve"> </w:t>
      </w:r>
      <w:r>
        <w:rPr>
          <w:b/>
          <w:sz w:val="24"/>
          <w:u w:val="single"/>
        </w:rPr>
        <w:t>RDINAMENTO FORENSE</w:t>
      </w:r>
    </w:p>
    <w:p>
      <w:pPr>
        <w:pStyle w:val="5"/>
        <w:spacing w:before="6"/>
        <w:rPr>
          <w:b/>
          <w:sz w:val="16"/>
        </w:rPr>
      </w:pPr>
    </w:p>
    <w:p>
      <w:pPr>
        <w:spacing w:before="94"/>
        <w:ind w:left="114"/>
        <w:rPr>
          <w:b/>
          <w:sz w:val="24"/>
        </w:rPr>
      </w:pPr>
      <w:r>
        <w:rPr>
          <w:b/>
        </w:rPr>
        <w:t xml:space="preserve">I modulo - </w:t>
      </w:r>
      <w:r>
        <w:rPr>
          <w:b/>
          <w:sz w:val="24"/>
        </w:rPr>
        <w:t>Prof. Tommaso De Mauro:</w:t>
      </w:r>
    </w:p>
    <w:p>
      <w:pPr>
        <w:pStyle w:val="5"/>
        <w:spacing w:before="196" w:line="297" w:lineRule="auto"/>
        <w:ind w:left="114" w:right="1021"/>
      </w:pPr>
      <w:r>
        <w:rPr>
          <w:b/>
        </w:rPr>
        <w:t xml:space="preserve">Programma: </w:t>
      </w:r>
      <w:r>
        <w:t>Natura degli ordini professionali, l'ordinamento forense in generale, gli organi dell'avvocatura, la tenuta degli albi, la deontologia, il codice deontologico.</w:t>
      </w:r>
    </w:p>
    <w:p>
      <w:pPr>
        <w:spacing w:before="199" w:line="297" w:lineRule="auto"/>
        <w:ind w:left="114" w:right="1021"/>
        <w:rPr>
          <w:sz w:val="24"/>
        </w:rPr>
      </w:pPr>
      <w:r>
        <w:rPr>
          <w:b/>
          <w:sz w:val="24"/>
        </w:rPr>
        <w:t xml:space="preserve">Testo: </w:t>
      </w:r>
      <w:r>
        <w:rPr>
          <w:sz w:val="24"/>
        </w:rPr>
        <w:t xml:space="preserve">R. Danovi, </w:t>
      </w:r>
      <w:r>
        <w:rPr>
          <w:i/>
          <w:sz w:val="24"/>
        </w:rPr>
        <w:t>Ordinamento forense e deontologia</w:t>
      </w:r>
      <w:r>
        <w:rPr>
          <w:sz w:val="24"/>
        </w:rPr>
        <w:t>, Giuffrè, 2020, capp. I, II, IV.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22"/>
        </w:rPr>
      </w:pPr>
    </w:p>
    <w:p>
      <w:pPr>
        <w:pStyle w:val="2"/>
      </w:pPr>
      <w:r>
        <w:rPr>
          <w:spacing w:val="-187"/>
          <w:u w:val="single"/>
        </w:rPr>
        <w:t>O</w:t>
      </w:r>
      <w:r>
        <w:rPr>
          <w:spacing w:val="125"/>
        </w:rPr>
        <w:t xml:space="preserve"> </w:t>
      </w:r>
      <w:r>
        <w:rPr>
          <w:u w:val="single"/>
        </w:rPr>
        <w:t>RDINAMENTO GIUDIZIARIO</w:t>
      </w:r>
    </w:p>
    <w:p>
      <w:pPr>
        <w:pStyle w:val="5"/>
        <w:spacing w:before="8"/>
        <w:rPr>
          <w:b/>
          <w:sz w:val="11"/>
        </w:rPr>
      </w:pPr>
    </w:p>
    <w:p>
      <w:pPr>
        <w:spacing w:before="90"/>
        <w:ind w:left="114"/>
        <w:rPr>
          <w:b/>
          <w:sz w:val="24"/>
        </w:rPr>
      </w:pPr>
      <w:r>
        <w:rPr>
          <w:b/>
          <w:sz w:val="24"/>
        </w:rPr>
        <w:t xml:space="preserve">I modulo </w:t>
      </w:r>
      <w:r>
        <w:rPr>
          <w:sz w:val="24"/>
        </w:rPr>
        <w:t xml:space="preserve">- </w:t>
      </w:r>
      <w:r>
        <w:rPr>
          <w:b/>
          <w:sz w:val="24"/>
        </w:rPr>
        <w:t>Prof.ssa Maria Pia Gasperini</w:t>
      </w:r>
    </w:p>
    <w:p>
      <w:pPr>
        <w:pStyle w:val="5"/>
        <w:spacing w:before="4"/>
        <w:rPr>
          <w:b/>
        </w:rPr>
      </w:pPr>
    </w:p>
    <w:p>
      <w:pPr>
        <w:pStyle w:val="5"/>
        <w:spacing w:line="276" w:lineRule="auto"/>
        <w:ind w:left="114"/>
      </w:pPr>
      <w:r>
        <w:rPr>
          <w:b/>
        </w:rPr>
        <w:t xml:space="preserve">Pragramma: </w:t>
      </w:r>
      <w:r>
        <w:t>La nuova disciplina della responsabilità civile dei magistrati (l. 27 febbraio 2015, n. 18).</w:t>
      </w:r>
    </w:p>
    <w:p>
      <w:pPr>
        <w:spacing w:before="204" w:line="274" w:lineRule="exact"/>
        <w:ind w:left="114"/>
        <w:rPr>
          <w:i/>
          <w:sz w:val="24"/>
        </w:rPr>
      </w:pPr>
      <w:r>
        <w:rPr>
          <w:b/>
          <w:sz w:val="24"/>
        </w:rPr>
        <w:t xml:space="preserve">Testi adottati: </w:t>
      </w:r>
      <w:r>
        <w:t xml:space="preserve">AA.VV., </w:t>
      </w:r>
      <w:r>
        <w:rPr>
          <w:i/>
        </w:rPr>
        <w:t xml:space="preserve">La responsabilità civile dei magistrati. </w:t>
      </w:r>
      <w:r>
        <w:rPr>
          <w:i/>
          <w:sz w:val="24"/>
        </w:rPr>
        <w:t>Commentario alle leggi 13 aprile 1988,</w:t>
      </w:r>
    </w:p>
    <w:p>
      <w:pPr>
        <w:ind w:left="114"/>
        <w:rPr>
          <w:sz w:val="24"/>
        </w:rPr>
      </w:pPr>
      <w:r>
        <w:rPr>
          <w:i/>
          <w:sz w:val="24"/>
        </w:rPr>
        <w:t>n. 117 e 27 febbraio 2015, n. 18</w:t>
      </w:r>
      <w:r>
        <w:rPr>
          <w:sz w:val="24"/>
        </w:rPr>
        <w:t xml:space="preserve">, a cura di F. Auletta, S. Boccagna, N. Rascio, Bologna, Zanichelli, 2017 (solo il commento all’art. 5, </w:t>
      </w:r>
      <w:r>
        <w:rPr>
          <w:i/>
          <w:sz w:val="24"/>
        </w:rPr>
        <w:t>Ammissibilità della domanda</w:t>
      </w:r>
      <w:r>
        <w:rPr>
          <w:sz w:val="24"/>
        </w:rPr>
        <w:t>, pp. 245-290).</w:t>
      </w:r>
    </w:p>
    <w:p>
      <w:pPr>
        <w:pStyle w:val="5"/>
        <w:spacing w:before="9"/>
        <w:rPr>
          <w:sz w:val="23"/>
        </w:rPr>
      </w:pPr>
    </w:p>
    <w:p>
      <w:pPr>
        <w:pStyle w:val="5"/>
        <w:spacing w:before="1"/>
        <w:ind w:left="114"/>
      </w:pPr>
      <w:r>
        <w:t>Sarà inoltre disponibile la presentazione utilizzata dal docente nel corso delle lezioni.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1"/>
        </w:rPr>
      </w:pPr>
    </w:p>
    <w:p>
      <w:pPr>
        <w:pStyle w:val="2"/>
        <w:spacing w:before="90"/>
      </w:pPr>
      <w:r>
        <w:rPr>
          <w:spacing w:val="-161"/>
          <w:u w:val="single"/>
        </w:rPr>
        <w:t>L</w:t>
      </w:r>
      <w:r>
        <w:rPr>
          <w:spacing w:val="100"/>
        </w:rPr>
        <w:t xml:space="preserve"> </w:t>
      </w:r>
      <w:r>
        <w:rPr>
          <w:u w:val="single"/>
        </w:rPr>
        <w:t xml:space="preserve">EGISLAZIONE </w:t>
      </w:r>
      <w:r>
        <w:rPr>
          <w:spacing w:val="-3"/>
          <w:u w:val="single"/>
        </w:rPr>
        <w:t>NOTARILE</w:t>
      </w:r>
    </w:p>
    <w:p>
      <w:pPr>
        <w:pStyle w:val="5"/>
        <w:spacing w:before="7"/>
        <w:rPr>
          <w:b/>
          <w:sz w:val="18"/>
        </w:rPr>
      </w:pPr>
    </w:p>
    <w:p>
      <w:pPr>
        <w:spacing w:before="90"/>
        <w:ind w:left="114"/>
        <w:jc w:val="both"/>
        <w:rPr>
          <w:b/>
          <w:sz w:val="24"/>
        </w:rPr>
      </w:pPr>
      <w:r>
        <w:rPr>
          <w:b/>
          <w:sz w:val="24"/>
        </w:rPr>
        <w:t xml:space="preserve">I modulo </w:t>
      </w:r>
      <w:r>
        <w:rPr>
          <w:sz w:val="24"/>
        </w:rPr>
        <w:t xml:space="preserve">- </w:t>
      </w:r>
      <w:r>
        <w:rPr>
          <w:b/>
          <w:sz w:val="24"/>
        </w:rPr>
        <w:t>Notaio Ciro Caccavale</w:t>
      </w:r>
    </w:p>
    <w:p>
      <w:pPr>
        <w:pStyle w:val="5"/>
        <w:spacing w:before="5"/>
        <w:rPr>
          <w:b/>
          <w:sz w:val="26"/>
        </w:rPr>
      </w:pPr>
    </w:p>
    <w:p>
      <w:pPr>
        <w:pStyle w:val="5"/>
        <w:spacing w:line="261" w:lineRule="auto"/>
        <w:ind w:left="114" w:right="182"/>
        <w:jc w:val="both"/>
      </w:pPr>
      <w:r>
        <w:rPr>
          <w:b/>
        </w:rPr>
        <w:t xml:space="preserve">Programma: </w:t>
      </w:r>
      <w:r>
        <w:t>Funzione notarile e responsabilità professionale. Le responsabilità del notaio: dai profili disciplinari al complesso tema della responsabilità civile. Casi e questioni.</w:t>
      </w:r>
    </w:p>
    <w:p>
      <w:pPr>
        <w:pStyle w:val="5"/>
        <w:spacing w:before="2"/>
      </w:pPr>
    </w:p>
    <w:p>
      <w:pPr>
        <w:spacing w:line="261" w:lineRule="auto"/>
        <w:ind w:left="114" w:right="182"/>
        <w:jc w:val="both"/>
        <w:rPr>
          <w:sz w:val="24"/>
        </w:rPr>
      </w:pPr>
      <w:r>
        <w:rPr>
          <w:b/>
          <w:sz w:val="24"/>
        </w:rPr>
        <w:t>Testi adottati</w:t>
      </w:r>
      <w:r>
        <w:rPr>
          <w:sz w:val="24"/>
        </w:rPr>
        <w:t xml:space="preserve">: P. Boero e M. Leva, </w:t>
      </w:r>
      <w:r>
        <w:rPr>
          <w:i/>
          <w:sz w:val="24"/>
        </w:rPr>
        <w:t>La legge notarile</w:t>
      </w:r>
      <w:r>
        <w:rPr>
          <w:sz w:val="24"/>
        </w:rPr>
        <w:t xml:space="preserve">, Giuffrè, 2014 (solo il commento agli articoli 1, 27, 28, 47, 138 bis); C. Caccavale, </w:t>
      </w:r>
      <w:r>
        <w:rPr>
          <w:i/>
          <w:sz w:val="24"/>
        </w:rPr>
        <w:t>L’esercizio della funzione notarile: appunti a margine della controversa questione della rinunzia anticipata all’azione di restituzione</w:t>
      </w:r>
      <w:r>
        <w:rPr>
          <w:sz w:val="24"/>
        </w:rPr>
        <w:t xml:space="preserve">, in </w:t>
      </w:r>
      <w:r>
        <w:rPr>
          <w:i/>
          <w:sz w:val="24"/>
        </w:rPr>
        <w:t>Notariato</w:t>
      </w:r>
      <w:r>
        <w:rPr>
          <w:sz w:val="24"/>
        </w:rPr>
        <w:t>, 2015, pp. 7-15; Testo normativo: Legge sui “Principi di deontologia professionale dei notai”.</w:t>
      </w:r>
    </w:p>
    <w:p>
      <w:pPr>
        <w:spacing w:line="261" w:lineRule="auto"/>
        <w:jc w:val="both"/>
        <w:rPr>
          <w:sz w:val="24"/>
        </w:rPr>
        <w:sectPr>
          <w:type w:val="continuous"/>
          <w:pgSz w:w="11900" w:h="16820"/>
          <w:pgMar w:top="1400" w:right="1020" w:bottom="280" w:left="1020" w:header="720" w:footer="720" w:gutter="0"/>
          <w:cols w:space="720" w:num="1"/>
        </w:sectPr>
      </w:pPr>
    </w:p>
    <w:p>
      <w:pPr>
        <w:pStyle w:val="2"/>
        <w:spacing w:before="61"/>
        <w:jc w:val="both"/>
      </w:pPr>
      <w:r>
        <w:rPr>
          <w:spacing w:val="-94"/>
          <w:u w:val="single"/>
        </w:rPr>
        <w:t>I</w:t>
      </w:r>
      <w:r>
        <w:rPr>
          <w:spacing w:val="32"/>
        </w:rPr>
        <w:t xml:space="preserve"> </w:t>
      </w:r>
      <w:r>
        <w:rPr>
          <w:u w:val="single"/>
        </w:rPr>
        <w:t>NFORMATICA GIURIDICA</w:t>
      </w:r>
    </w:p>
    <w:p>
      <w:pPr>
        <w:pStyle w:val="5"/>
        <w:spacing w:before="2"/>
        <w:rPr>
          <w:b/>
          <w:sz w:val="28"/>
        </w:rPr>
      </w:pPr>
    </w:p>
    <w:p>
      <w:pPr>
        <w:pStyle w:val="7"/>
        <w:numPr>
          <w:ilvl w:val="0"/>
          <w:numId w:val="1"/>
        </w:numPr>
        <w:tabs>
          <w:tab w:val="left" w:pos="268"/>
        </w:tabs>
        <w:rPr>
          <w:b/>
          <w:sz w:val="24"/>
        </w:rPr>
      </w:pPr>
      <w:r>
        <w:rPr>
          <w:b/>
          <w:sz w:val="24"/>
        </w:rPr>
        <w:t xml:space="preserve">modulo </w:t>
      </w:r>
      <w:r>
        <w:rPr>
          <w:sz w:val="24"/>
        </w:rPr>
        <w:t xml:space="preserve">- </w:t>
      </w:r>
      <w:r>
        <w:rPr>
          <w:b/>
          <w:sz w:val="24"/>
        </w:rPr>
        <w:t>Prof. Francesco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Rizzo</w:t>
      </w:r>
    </w:p>
    <w:p>
      <w:pPr>
        <w:pStyle w:val="5"/>
        <w:spacing w:before="2"/>
        <w:rPr>
          <w:b/>
          <w:sz w:val="28"/>
        </w:rPr>
      </w:pPr>
    </w:p>
    <w:p>
      <w:pPr>
        <w:pStyle w:val="5"/>
        <w:spacing w:line="261" w:lineRule="auto"/>
        <w:ind w:left="114"/>
      </w:pPr>
      <w:r>
        <w:rPr>
          <w:b/>
        </w:rPr>
        <w:t xml:space="preserve">Programma: </w:t>
      </w:r>
      <w:r>
        <w:t>Firme elettroniche e documento informatico. La contrattazione telematica. I nomi a dominio.</w:t>
      </w:r>
    </w:p>
    <w:p>
      <w:pPr>
        <w:pStyle w:val="5"/>
        <w:spacing w:before="11"/>
        <w:rPr>
          <w:sz w:val="25"/>
        </w:rPr>
      </w:pPr>
    </w:p>
    <w:p>
      <w:pPr>
        <w:spacing w:line="261" w:lineRule="auto"/>
        <w:ind w:left="114" w:right="193"/>
        <w:jc w:val="both"/>
        <w:rPr>
          <w:sz w:val="24"/>
        </w:rPr>
      </w:pPr>
      <w:r>
        <w:rPr>
          <w:b/>
          <w:sz w:val="24"/>
        </w:rPr>
        <w:t>Testi adottati</w:t>
      </w:r>
      <w:r>
        <w:rPr>
          <w:sz w:val="24"/>
        </w:rPr>
        <w:t xml:space="preserve">: L. Ruggeri, </w:t>
      </w:r>
      <w:r>
        <w:rPr>
          <w:i/>
          <w:sz w:val="24"/>
        </w:rPr>
        <w:t>I domain names</w:t>
      </w:r>
      <w:r>
        <w:rPr>
          <w:sz w:val="24"/>
        </w:rPr>
        <w:t xml:space="preserve">, in R. Bocchini (a cura di), </w:t>
      </w:r>
      <w:r>
        <w:rPr>
          <w:i/>
          <w:sz w:val="24"/>
        </w:rPr>
        <w:t>Manuale di diritto privato dell’informatica</w:t>
      </w:r>
      <w:r>
        <w:rPr>
          <w:sz w:val="24"/>
        </w:rPr>
        <w:t xml:space="preserve">, ESI, 2023, pp.197-210; G. Andreotti, </w:t>
      </w:r>
      <w:r>
        <w:rPr>
          <w:i/>
          <w:sz w:val="24"/>
        </w:rPr>
        <w:t>Le firme elettroniche</w:t>
      </w:r>
      <w:r>
        <w:rPr>
          <w:sz w:val="24"/>
        </w:rPr>
        <w:t xml:space="preserve"> e </w:t>
      </w:r>
      <w:r>
        <w:rPr>
          <w:i/>
          <w:sz w:val="24"/>
        </w:rPr>
        <w:t>Le forme elettroniche</w:t>
      </w:r>
      <w:r>
        <w:rPr>
          <w:sz w:val="24"/>
        </w:rPr>
        <w:t xml:space="preserve">, in R. Bocchini (a cura di), </w:t>
      </w:r>
      <w:r>
        <w:rPr>
          <w:i/>
          <w:sz w:val="24"/>
        </w:rPr>
        <w:t>Manuale di diritto privato dell’informatica</w:t>
      </w:r>
      <w:r>
        <w:rPr>
          <w:sz w:val="24"/>
        </w:rPr>
        <w:t xml:space="preserve">, ESI, 2023, pp. 317-346; F. Rizzo </w:t>
      </w:r>
      <w:r>
        <w:rPr>
          <w:i/>
          <w:sz w:val="24"/>
        </w:rPr>
        <w:t>Il documento informatico</w:t>
      </w:r>
      <w:r>
        <w:rPr>
          <w:sz w:val="24"/>
        </w:rPr>
        <w:t>, ESI, 2004, cap. V, pp. 243-308.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361"/>
        </w:tabs>
        <w:ind w:left="360" w:hanging="247"/>
      </w:pPr>
      <w:r>
        <w:t xml:space="preserve">modulo </w:t>
      </w:r>
      <w:r>
        <w:rPr>
          <w:b w:val="0"/>
        </w:rPr>
        <w:t xml:space="preserve">- </w:t>
      </w:r>
      <w:r>
        <w:t>Prof.ssa Marialuisa</w:t>
      </w:r>
      <w:r>
        <w:rPr>
          <w:spacing w:val="-1"/>
        </w:rPr>
        <w:t xml:space="preserve"> </w:t>
      </w:r>
      <w:r>
        <w:t>Gambini</w:t>
      </w:r>
    </w:p>
    <w:p>
      <w:pPr>
        <w:pStyle w:val="5"/>
        <w:spacing w:before="2"/>
        <w:rPr>
          <w:b/>
          <w:sz w:val="28"/>
        </w:rPr>
      </w:pPr>
    </w:p>
    <w:p>
      <w:pPr>
        <w:ind w:left="114"/>
        <w:rPr>
          <w:sz w:val="24"/>
        </w:rPr>
      </w:pPr>
      <w:r>
        <w:rPr>
          <w:b/>
          <w:sz w:val="24"/>
        </w:rPr>
        <w:t xml:space="preserve">Programma: </w:t>
      </w:r>
      <w:r>
        <w:rPr>
          <w:sz w:val="24"/>
        </w:rPr>
        <w:t>Responsabilità civile telematica.</w:t>
      </w:r>
    </w:p>
    <w:p>
      <w:pPr>
        <w:pStyle w:val="5"/>
        <w:spacing w:before="2"/>
        <w:rPr>
          <w:sz w:val="28"/>
        </w:rPr>
      </w:pPr>
    </w:p>
    <w:p>
      <w:pPr>
        <w:spacing w:line="261" w:lineRule="auto"/>
        <w:ind w:left="114" w:right="110"/>
        <w:jc w:val="both"/>
        <w:rPr>
          <w:sz w:val="24"/>
        </w:rPr>
      </w:pPr>
      <w:r>
        <w:rPr>
          <w:b/>
          <w:spacing w:val="-5"/>
          <w:sz w:val="24"/>
        </w:rPr>
        <w:t xml:space="preserve">Testi </w:t>
      </w:r>
      <w:r>
        <w:rPr>
          <w:b/>
          <w:sz w:val="24"/>
        </w:rPr>
        <w:t>adottati</w:t>
      </w:r>
      <w:r>
        <w:rPr>
          <w:sz w:val="24"/>
        </w:rPr>
        <w:t xml:space="preserve">: R. Bocchini, </w:t>
      </w:r>
      <w:r>
        <w:rPr>
          <w:i/>
          <w:sz w:val="24"/>
        </w:rPr>
        <w:t>La responsabilità extracontrattuale del provider</w:t>
      </w:r>
      <w:r>
        <w:rPr>
          <w:sz w:val="24"/>
        </w:rPr>
        <w:t xml:space="preserve">, in R. Bocchini (a cura di), </w:t>
      </w:r>
      <w:r>
        <w:rPr>
          <w:i/>
          <w:sz w:val="24"/>
        </w:rPr>
        <w:t>Manuale di diritto privato dell’informatica</w:t>
      </w:r>
      <w:r>
        <w:rPr>
          <w:sz w:val="24"/>
        </w:rPr>
        <w:t xml:space="preserve">, ESI, 2023, pp. 533-558; M. Gambini, </w:t>
      </w:r>
      <w:r>
        <w:rPr>
          <w:i/>
          <w:sz w:val="24"/>
        </w:rPr>
        <w:t>La responsabilità civile telematica</w:t>
      </w:r>
      <w:r>
        <w:rPr>
          <w:sz w:val="24"/>
        </w:rPr>
        <w:t xml:space="preserve">, in AA.VV., </w:t>
      </w:r>
      <w:r>
        <w:rPr>
          <w:i/>
          <w:sz w:val="24"/>
        </w:rPr>
        <w:t>Intenet e diritto civile</w:t>
      </w:r>
      <w:r>
        <w:rPr>
          <w:sz w:val="24"/>
        </w:rPr>
        <w:t>, a cura di G. Perlingieri e L. Ruggeri, ESI, 2015, pp. 313-343.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455"/>
        </w:tabs>
        <w:ind w:left="454" w:hanging="341"/>
      </w:pPr>
      <w:r>
        <w:t xml:space="preserve">modulo </w:t>
      </w:r>
      <w:r>
        <w:rPr>
          <w:b w:val="0"/>
        </w:rPr>
        <w:t xml:space="preserve">- </w:t>
      </w:r>
      <w:r>
        <w:t>Prof.ssa Federica</w:t>
      </w:r>
      <w:r>
        <w:rPr>
          <w:spacing w:val="-1"/>
        </w:rPr>
        <w:t xml:space="preserve"> </w:t>
      </w:r>
      <w:r>
        <w:t>Lazzarelli</w:t>
      </w:r>
    </w:p>
    <w:p>
      <w:pPr>
        <w:pStyle w:val="5"/>
        <w:spacing w:before="1"/>
        <w:rPr>
          <w:b/>
          <w:sz w:val="26"/>
        </w:rPr>
      </w:pPr>
    </w:p>
    <w:p>
      <w:pPr>
        <w:pStyle w:val="5"/>
        <w:spacing w:line="276" w:lineRule="auto"/>
        <w:ind w:left="114" w:right="107"/>
        <w:jc w:val="both"/>
      </w:pPr>
      <w:r>
        <w:t>Il modulo sarà articolato in due parti: si dedicherà la prima all’approfondimento del tema dei contenuti digitali e della relativa tutela nonché di quello dei «beni con elementi digitali», con specifica attenzione alla più recente normativa europea ed alle questioni correlate al fenomeno della c.d.</w:t>
      </w:r>
    </w:p>
    <w:p>
      <w:pPr>
        <w:pStyle w:val="5"/>
        <w:spacing w:line="276" w:lineRule="auto"/>
        <w:ind w:left="114" w:right="105"/>
        <w:jc w:val="both"/>
      </w:pPr>
      <w:r>
        <w:t>obsolescenza programmata e della sostenibilità ambientale. La seconda parte sarà incentrata sull’incidenza degli strumenti tecnologici nella contrattazione, dal contratto digitale alla contrattazione algoritmica, con riguardo alle complesse problematiche legate all’equilibrio contrattuale e alla tutela del contraente debole.</w:t>
      </w:r>
    </w:p>
    <w:p>
      <w:pPr>
        <w:spacing w:before="203" w:line="276" w:lineRule="auto"/>
        <w:ind w:left="114" w:right="107"/>
        <w:jc w:val="both"/>
        <w:rPr>
          <w:sz w:val="24"/>
        </w:rPr>
      </w:pPr>
      <w:r>
        <w:rPr>
          <w:b/>
          <w:spacing w:val="-5"/>
          <w:position w:val="1"/>
          <w:sz w:val="24"/>
        </w:rPr>
        <w:t xml:space="preserve">Testi </w:t>
      </w:r>
      <w:r>
        <w:rPr>
          <w:b/>
          <w:position w:val="1"/>
          <w:sz w:val="24"/>
        </w:rPr>
        <w:t xml:space="preserve">adottati: </w:t>
      </w:r>
      <w:r>
        <w:rPr>
          <w:sz w:val="24"/>
          <w:szCs w:val="24"/>
        </w:rPr>
        <w:t xml:space="preserve">AA.VV., </w:t>
      </w:r>
      <w:r>
        <w:rPr>
          <w:i/>
          <w:sz w:val="24"/>
          <w:szCs w:val="24"/>
        </w:rPr>
        <w:t>Manuale di diritto privato dell’informatica</w:t>
      </w:r>
      <w:r>
        <w:rPr>
          <w:sz w:val="24"/>
          <w:szCs w:val="24"/>
        </w:rPr>
        <w:t xml:space="preserve"> a cura di R. Bocchini, ESI, 2023, parte IV, cap. I-II (sez. A e B) – III;</w:t>
      </w:r>
      <w:r>
        <w:rPr>
          <w:sz w:val="24"/>
        </w:rPr>
        <w:t xml:space="preserve"> A. Federico, </w:t>
      </w:r>
      <w:r>
        <w:rPr>
          <w:i/>
          <w:sz w:val="24"/>
        </w:rPr>
        <w:t xml:space="preserve">Equilibrio </w:t>
      </w:r>
      <w:r>
        <w:rPr>
          <w:i/>
          <w:position w:val="1"/>
          <w:sz w:val="24"/>
        </w:rPr>
        <w:t>e contrattazione algoritmica</w:t>
      </w:r>
      <w:r>
        <w:rPr>
          <w:position w:val="1"/>
          <w:sz w:val="24"/>
        </w:rPr>
        <w:t xml:space="preserve">, in </w:t>
      </w:r>
      <w:r>
        <w:rPr>
          <w:i/>
          <w:position w:val="1"/>
          <w:sz w:val="24"/>
        </w:rPr>
        <w:t xml:space="preserve">Rass </w:t>
      </w:r>
      <w:r>
        <w:rPr>
          <w:i/>
          <w:spacing w:val="-7"/>
          <w:position w:val="1"/>
          <w:sz w:val="24"/>
        </w:rPr>
        <w:t xml:space="preserve">dir. </w:t>
      </w:r>
      <w:r>
        <w:rPr>
          <w:i/>
          <w:position w:val="1"/>
          <w:sz w:val="24"/>
        </w:rPr>
        <w:t>civ</w:t>
      </w:r>
      <w:r>
        <w:rPr>
          <w:position w:val="1"/>
          <w:sz w:val="24"/>
        </w:rPr>
        <w:t>., 2021, pp. 483–515</w:t>
      </w:r>
      <w:r>
        <w:rPr>
          <w:sz w:val="18"/>
        </w:rPr>
        <w:t xml:space="preserve">; </w:t>
      </w:r>
      <w:r>
        <w:rPr>
          <w:spacing w:val="-10"/>
          <w:position w:val="1"/>
          <w:sz w:val="24"/>
        </w:rPr>
        <w:t xml:space="preserve">F. </w:t>
      </w:r>
      <w:r>
        <w:rPr>
          <w:position w:val="1"/>
          <w:sz w:val="24"/>
        </w:rPr>
        <w:t xml:space="preserve">Lazzarelli, </w:t>
      </w:r>
      <w:r>
        <w:rPr>
          <w:i/>
          <w:position w:val="1"/>
          <w:sz w:val="24"/>
        </w:rPr>
        <w:t>E-commerce</w:t>
      </w:r>
      <w:r>
        <w:rPr>
          <w:position w:val="1"/>
          <w:sz w:val="24"/>
        </w:rPr>
        <w:t xml:space="preserve"> </w:t>
      </w:r>
      <w:r>
        <w:rPr>
          <w:i/>
          <w:spacing w:val="-13"/>
          <w:position w:val="1"/>
          <w:sz w:val="24"/>
        </w:rPr>
        <w:t xml:space="preserve">e </w:t>
      </w:r>
      <w:r>
        <w:rPr>
          <w:i/>
          <w:sz w:val="24"/>
        </w:rPr>
        <w:t>contraente debole (non consumatore). Considerazioni sistematiche a margine dei recenti interventi del legislatore UE e della Corte di Giustizia</w:t>
      </w:r>
      <w:r>
        <w:rPr>
          <w:sz w:val="24"/>
        </w:rPr>
        <w:t xml:space="preserve">, in </w:t>
      </w:r>
      <w:r>
        <w:rPr>
          <w:i/>
          <w:sz w:val="24"/>
        </w:rPr>
        <w:t>Corti salernitane</w:t>
      </w:r>
      <w:r>
        <w:rPr>
          <w:sz w:val="24"/>
        </w:rPr>
        <w:t>, 2019, pp.</w:t>
      </w:r>
      <w:r>
        <w:rPr>
          <w:spacing w:val="-4"/>
          <w:sz w:val="24"/>
        </w:rPr>
        <w:t xml:space="preserve"> </w:t>
      </w:r>
      <w:r>
        <w:rPr>
          <w:sz w:val="24"/>
        </w:rPr>
        <w:t>395–419.</w:t>
      </w:r>
    </w:p>
    <w:p>
      <w:pPr>
        <w:pStyle w:val="5"/>
        <w:spacing w:before="197" w:line="276" w:lineRule="auto"/>
        <w:ind w:left="114" w:right="107"/>
        <w:jc w:val="both"/>
      </w:pPr>
      <w:r>
        <w:rPr>
          <w:b/>
        </w:rPr>
        <w:t>Fonti normative</w:t>
      </w:r>
      <w:r>
        <w:t xml:space="preserve">: in aggiunta al codice civile e al codice del consumo (ed. aggiornate), si consiglia la consultazione del Regolamento 2018/302/EU sul “Geoblocking; della direttiva n. 770/2019/UE, relativa a determinati aspetti dei contratti </w:t>
      </w:r>
      <w:r>
        <w:rPr>
          <w:spacing w:val="-6"/>
        </w:rPr>
        <w:t xml:space="preserve">di </w:t>
      </w:r>
      <w:r>
        <w:t>fornitura di contenuto digitale e di servizi digitali attuata con d.lgs. 173/2021 e della direttiva n. 771/2019/UE, relativa a determinati aspetti dei contratti di vendita di beni, attuata con d.lgs. 170/2021; Regolamento sull’intelligenza artificiale (AI Act) [nella versione più aggiornata del testo, che, ad oggi, non è ancora non definitivo].</w:t>
      </w:r>
    </w:p>
    <w:sectPr>
      <w:pgSz w:w="11900" w:h="16820"/>
      <w:pgMar w:top="138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90D4A"/>
    <w:multiLevelType w:val="multilevel"/>
    <w:tmpl w:val="2B790D4A"/>
    <w:lvl w:ilvl="0" w:tentative="0">
      <w:start w:val="1"/>
      <w:numFmt w:val="upperRoman"/>
      <w:lvlText w:val="%1"/>
      <w:lvlJc w:val="left"/>
      <w:pPr>
        <w:ind w:left="267" w:hanging="154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220" w:hanging="154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180" w:hanging="154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140" w:hanging="154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100" w:hanging="154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060" w:hanging="154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020" w:hanging="154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6980" w:hanging="154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7940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D"/>
    <w:rsid w:val="000C24C0"/>
    <w:rsid w:val="000D758E"/>
    <w:rsid w:val="001E6457"/>
    <w:rsid w:val="002F3398"/>
    <w:rsid w:val="005520AD"/>
    <w:rsid w:val="0067597D"/>
    <w:rsid w:val="006C7E5E"/>
    <w:rsid w:val="007F16D3"/>
    <w:rsid w:val="00885921"/>
    <w:rsid w:val="00A7042C"/>
    <w:rsid w:val="00C1056D"/>
    <w:rsid w:val="00D05B66"/>
    <w:rsid w:val="00D31222"/>
    <w:rsid w:val="00E40B84"/>
    <w:rsid w:val="00EA5C6E"/>
    <w:rsid w:val="00FE7FF0"/>
    <w:rsid w:val="0A3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qFormat/>
    <w:uiPriority w:val="9"/>
    <w:pPr>
      <w:ind w:left="114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67" w:hanging="341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3630</Characters>
  <Lines>30</Lines>
  <Paragraphs>8</Paragraphs>
  <TotalTime>86</TotalTime>
  <ScaleCrop>false</ScaleCrop>
  <LinksUpToDate>false</LinksUpToDate>
  <CharactersWithSpaces>4258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2021-04-15T10:14:00Z</dcterms:created>
  <dc:creator>Campetella Luciana</dc:creator>
  <cp:lastModifiedBy>Rossano Giri</cp:lastModifiedBy>
  <dcterms:modified xsi:type="dcterms:W3CDTF">2024-04-09T08:49:00Z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2021-04-15T00:00:00Z</vt:filetime>
  </property>
  <property fmtid="{D5CDD505-2E9C-101B-9397-08002B2CF9AE}" pid="5" name="KSOProductBuildVer">
    <vt:lpwstr>1033-12.2.0.13489</vt:lpwstr>
  </property>
  <property fmtid="{D5CDD505-2E9C-101B-9397-08002B2CF9AE}" pid="6" name="ICV">
    <vt:lpwstr>368A93E12C4C4C2EBB131F98592B4CF3_13</vt:lpwstr>
  </property>
</Properties>
</file>