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544"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0" w:name="bookmark=id.gjdgxs" w:colFirst="0" w:colLast="0"/>
      <w:bookmarkEnd w:id="0"/>
      <w:r>
        <w:rPr>
          <w:rFonts w:ascii="Times New Roman" w:hAnsi="Times New Roman" w:eastAsia="Times New Roman" w:cs="Times New Roman"/>
          <w:b/>
          <w:i w:val="0"/>
          <w:smallCaps w:val="0"/>
          <w:strike w:val="0"/>
          <w:color w:val="000000"/>
          <w:sz w:val="24"/>
          <w:szCs w:val="24"/>
          <w:u w:val="none"/>
          <w:shd w:val="clear" w:fill="auto"/>
          <w:vertAlign w:val="baseline"/>
          <w:rtl w:val="0"/>
        </w:rPr>
        <w:t>SCUOLA DI SPECIALIZZAZIONE IN DIRITTO CIVILE</w:t>
      </w:r>
    </w:p>
    <w:p w14:paraId="0000000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544"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Programma dei Corsi A.A. 2023/24</w:t>
      </w:r>
    </w:p>
    <w:p w14:paraId="0000000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544"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I ANNO</w:t>
      </w:r>
    </w:p>
    <w:p w14:paraId="000000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DIRITTO DI FAMIGLIA</w:t>
      </w:r>
    </w:p>
    <w:p w14:paraId="0000000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Proff. Giampaolo Frezza e Pietro Virgadamo</w:t>
      </w:r>
    </w:p>
    <w:p w14:paraId="000000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left"/>
        <w:rPr>
          <w:rFonts w:ascii="Times New Roman" w:hAnsi="Times New Roman" w:eastAsia="Times New Roman" w:cs="Times New Roman"/>
          <w:b w:val="0"/>
          <w:i w:val="0"/>
          <w:smallCaps w:val="0"/>
          <w:strike w:val="0"/>
          <w:color w:val="222222"/>
          <w:sz w:val="24"/>
          <w:szCs w:val="24"/>
          <w:u w:val="none"/>
          <w:shd w:val="clear" w:fill="auto"/>
          <w:vertAlign w:val="baseline"/>
        </w:rPr>
      </w:pPr>
      <w:r>
        <w:rPr>
          <w:rFonts w:ascii="Times New Roman" w:hAnsi="Times New Roman" w:eastAsia="Times New Roman" w:cs="Times New Roman"/>
          <w:b/>
          <w:i w:val="0"/>
          <w:smallCaps w:val="0"/>
          <w:strike w:val="0"/>
          <w:color w:val="222222"/>
          <w:sz w:val="24"/>
          <w:szCs w:val="24"/>
          <w:u w:val="none"/>
          <w:shd w:val="clear" w:fill="auto"/>
          <w:vertAlign w:val="baseline"/>
          <w:rtl w:val="0"/>
        </w:rPr>
        <w:t xml:space="preserve">Testo adottato: </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G. Carapezza Figlia, N. Cipriani, G. Frezza, … [et al.],</w:t>
      </w:r>
      <w:r>
        <w:rPr>
          <w:rFonts w:ascii="Times New Roman" w:hAnsi="Times New Roman" w:eastAsia="Times New Roman" w:cs="Times New Roman"/>
          <w:b/>
          <w:i w:val="0"/>
          <w:smallCaps w:val="0"/>
          <w:strike w:val="0"/>
          <w:color w:val="222222"/>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222222"/>
          <w:sz w:val="24"/>
          <w:szCs w:val="24"/>
          <w:u w:val="none"/>
          <w:shd w:val="clear" w:fill="auto"/>
          <w:vertAlign w:val="baseline"/>
          <w:rtl w:val="0"/>
        </w:rPr>
        <w:t>Manuale di Diritto di famiglia</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w:t>
      </w:r>
      <w:r>
        <w:rPr>
          <w:rFonts w:ascii="Times New Roman" w:hAnsi="Times New Roman" w:eastAsia="Times New Roman" w:cs="Times New Roman"/>
          <w:b/>
          <w:i w:val="0"/>
          <w:smallCaps w:val="0"/>
          <w:strike w:val="0"/>
          <w:color w:val="222222"/>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ESI</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w:t>
      </w:r>
      <w:r>
        <w:rPr>
          <w:rFonts w:ascii="Times New Roman" w:hAnsi="Times New Roman" w:eastAsia="Times New Roman" w:cs="Times New Roman"/>
          <w:b w:val="0"/>
          <w:i w:val="0"/>
          <w:smallCaps w:val="0"/>
          <w:strike w:val="0"/>
          <w:color w:val="C00000"/>
          <w:sz w:val="24"/>
          <w:szCs w:val="24"/>
          <w:u w:val="none"/>
          <w:shd w:val="clear" w:fill="auto"/>
          <w:vertAlign w:val="baseline"/>
          <w:rtl w:val="0"/>
        </w:rPr>
        <w:t xml:space="preserve"> 202</w:t>
      </w:r>
      <w:r>
        <w:rPr>
          <w:rFonts w:hint="default" w:ascii="Times New Roman" w:hAnsi="Times New Roman" w:eastAsia="Times New Roman" w:cs="Times New Roman"/>
          <w:b w:val="0"/>
          <w:i w:val="0"/>
          <w:smallCaps w:val="0"/>
          <w:strike w:val="0"/>
          <w:color w:val="C00000"/>
          <w:sz w:val="24"/>
          <w:szCs w:val="24"/>
          <w:u w:val="none"/>
          <w:shd w:val="clear" w:fill="auto"/>
          <w:vertAlign w:val="baseline"/>
          <w:rtl w:val="0"/>
          <w:lang w:val="it-IT"/>
        </w:rPr>
        <w:t>4</w:t>
      </w:r>
      <w:r>
        <w:rPr>
          <w:rFonts w:ascii="Times New Roman" w:hAnsi="Times New Roman" w:eastAsia="Times New Roman" w:cs="Times New Roman"/>
          <w:b w:val="0"/>
          <w:i w:val="0"/>
          <w:smallCaps w:val="0"/>
          <w:strike w:val="0"/>
          <w:color w:val="C00000"/>
          <w:sz w:val="24"/>
          <w:szCs w:val="24"/>
          <w:u w:val="none"/>
          <w:shd w:val="clear" w:fill="auto"/>
          <w:vertAlign w:val="baseline"/>
          <w:rtl w:val="0"/>
        </w:rPr>
        <w:t>.</w:t>
      </w:r>
    </w:p>
    <w:p w14:paraId="000000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3" w:name="_GoBack"/>
      <w:bookmarkEnd w:id="3"/>
    </w:p>
    <w:p w14:paraId="000000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DIRITTO DELLE PERSONE</w:t>
      </w:r>
    </w:p>
    <w:p w14:paraId="000000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 modulo - Prof. Ferdinando Parente</w:t>
      </w:r>
    </w:p>
    <w:p w14:paraId="000000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La persona umana e l’ordinamento giuridico. La capacità giuridica e la soggettività. 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diritti inviolabili dell'uomo e la salvaguardia della persona: i parametri della vita, dell’integrità, della salute, dell’identità e della libertà. La «pari dignità» quale «valore fondante» del sistema normativo. L’estensione della tutela giuridica dall’«organismo nato» alla «vita embrionale». La tutela del «genoma individuale» e del «genoma umano». I diritti dell’umanità. I diritti fondamentali nell’Unione Europea. Le situazioni soggettive alla luce della Carta di Nizza. La funzione strumentale del principio di sostenibilità nella salvaguardia dei valori della persona. Gli strumenti di tutela dei diritti della personalità. La protezione giuridica della persona dall’esposizione a campi elettromagnetici di origine artificiale. Gli effetti bio-patologici delle «radiazioni non ionizzanti» sul corpo umano e le tecniche precauzionali di intervento.</w:t>
      </w:r>
    </w:p>
    <w:p w14:paraId="000000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7"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 Parente, </w:t>
      </w:r>
      <w:r>
        <w:rPr>
          <w:rFonts w:ascii="Times New Roman" w:hAnsi="Times New Roman" w:eastAsia="Times New Roman" w:cs="Times New Roman"/>
          <w:b w:val="0"/>
          <w:i/>
          <w:smallCaps w:val="0"/>
          <w:strike w:val="0"/>
          <w:color w:val="000000"/>
          <w:sz w:val="24"/>
          <w:szCs w:val="24"/>
          <w:u w:val="none"/>
          <w:shd w:val="clear" w:fill="auto"/>
          <w:vertAlign w:val="baseline"/>
          <w:rtl w:val="0"/>
        </w:rPr>
        <w:t>La protezione giuridica della persona dall’esposizione a campi elettromagnetici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Rass. dir. civ.</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2008, p. 397 ss.; F.</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Parente, </w:t>
      </w:r>
      <w:r>
        <w:rPr>
          <w:rFonts w:ascii="Times New Roman" w:hAnsi="Times New Roman" w:eastAsia="Times New Roman" w:cs="Times New Roman"/>
          <w:b w:val="0"/>
          <w:i/>
          <w:smallCaps w:val="0"/>
          <w:strike w:val="0"/>
          <w:color w:val="000000"/>
          <w:sz w:val="24"/>
          <w:szCs w:val="24"/>
          <w:u w:val="none"/>
          <w:shd w:val="clear" w:fill="auto"/>
          <w:vertAlign w:val="baseline"/>
          <w:rtl w:val="0"/>
        </w:rPr>
        <w:t>La «biogiuridicità» della vita nascente tra «libertà» della ricerca biomedica e «dinamismo» della tutela dei valori esistenziali dell’uomo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Rass. dir. civ.</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2009, p. 444 ss.; F. Parente, </w:t>
      </w:r>
      <w:r>
        <w:rPr>
          <w:rFonts w:ascii="Times New Roman" w:hAnsi="Times New Roman" w:eastAsia="Times New Roman" w:cs="Times New Roman"/>
          <w:b w:val="0"/>
          <w:i/>
          <w:smallCaps w:val="0"/>
          <w:strike w:val="0"/>
          <w:color w:val="000000"/>
          <w:sz w:val="24"/>
          <w:szCs w:val="24"/>
          <w:u w:val="none"/>
          <w:shd w:val="clear" w:fill="auto"/>
          <w:vertAlign w:val="baseline"/>
          <w:rtl w:val="0"/>
        </w:rPr>
        <w:t>Il ripensamento dei diritti fondamentali della persona nell’area dell’Unione europea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Corti pugliesi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2007, p. 774 ss.</w:t>
      </w:r>
    </w:p>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2"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2"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Letture facoltative di approfondimento: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 Perlingieri,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personalità umana nell’ordinamento giuridico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Id.,</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persona e 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suoi diritti. Problemi del diritto civile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ESI, 2005, p. 3 ss.; id.,</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A margine della Carta dei diritti fondamentali dell’Unione europea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ivi, p. 63 ss.; id.,</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I diritti umani come base dello sviluppo sostenibile. Aspetti giuridici e sociologici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ivi, p. 71 ss.; Id., </w:t>
      </w:r>
      <w:r>
        <w:rPr>
          <w:rFonts w:ascii="Times New Roman" w:hAnsi="Times New Roman" w:eastAsia="Times New Roman" w:cs="Times New Roman"/>
          <w:b w:val="0"/>
          <w:i/>
          <w:smallCaps w:val="0"/>
          <w:strike w:val="0"/>
          <w:color w:val="000000"/>
          <w:sz w:val="24"/>
          <w:szCs w:val="24"/>
          <w:u w:val="none"/>
          <w:shd w:val="clear" w:fill="auto"/>
          <w:vertAlign w:val="baseline"/>
          <w:rtl w:val="0"/>
        </w:rPr>
        <w:t>Il diritto alla salute quale diritto della personalità</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ivi, p. 101 ss.; Id., L</w:t>
      </w:r>
      <w:r>
        <w:rPr>
          <w:rFonts w:ascii="Times New Roman" w:hAnsi="Times New Roman" w:eastAsia="Times New Roman" w:cs="Times New Roman"/>
          <w:b w:val="0"/>
          <w:i/>
          <w:smallCaps w:val="0"/>
          <w:strike w:val="0"/>
          <w:color w:val="000000"/>
          <w:sz w:val="24"/>
          <w:szCs w:val="24"/>
          <w:u w:val="none"/>
          <w:shd w:val="clear" w:fill="auto"/>
          <w:vertAlign w:val="baseline"/>
          <w:rtl w:val="0"/>
        </w:rPr>
        <w:t>’onnipresente art. 2059 c.c. e la “tipicità” del danno alla persona,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nota a Cass., sez. un., 11 novembre 2008, n. 26972, in </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Rass. dir. civ.,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2009, pp. 499-529; M. Cartabia,</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L’ora dei diritti fondamentali nell’Unione Europea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id. (a cura di),</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I diritti in azione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Universalità e pluralismo dei diritti fondamentali nelle Corti europee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Il Mulino, 2007, pp. 13-66.</w:t>
      </w:r>
    </w:p>
    <w:p w14:paraId="000000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 modulo - Prof. Giovanni Zarra</w:t>
      </w:r>
    </w:p>
    <w:p w14:paraId="000000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6"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Il corso si occuperà della tutela dei diritti nel contesto internazionale e transnazionale, in</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particolare focalizzandosi sul coordinamento tra ordinamenti domestici e sul rapporto tra l’ordinamento interno e quello internazionale. Nell’ambito di tali rapporti tra sistemi giuridici, si vedrà come la logica dell’apertura e dell’integrazione è senz’altro da privilegiarsi alla luce dell’attuale quadro normativo vigente (primariamente improntato alla tutela della persona umana) ma che, in ogni caso, la salvaguardia dei principi fondamentali dello Stato resta un limite invalicabile. A tal fine saranno debitamente approfondite la teoria dei controlimiti e la clausola generale dell’ordine pubblico.</w:t>
      </w:r>
    </w:p>
    <w:p w14:paraId="000000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G. Zarra,</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carta sociale europea tra unitarietà dei diritti fondamentali, Drittwirkung</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e applicazione da parte dei giudici interni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Annali SISDIC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2020, pp. 19-49; G. Perlingieri e G.</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Zarra, </w:t>
      </w:r>
      <w:r>
        <w:rPr>
          <w:rFonts w:ascii="Times New Roman" w:hAnsi="Times New Roman" w:eastAsia="Times New Roman" w:cs="Times New Roman"/>
          <w:b w:val="0"/>
          <w:i/>
          <w:smallCaps w:val="0"/>
          <w:strike w:val="0"/>
          <w:color w:val="000000"/>
          <w:sz w:val="24"/>
          <w:szCs w:val="24"/>
          <w:u w:val="none"/>
          <w:shd w:val="clear" w:fill="auto"/>
          <w:vertAlign w:val="baseline"/>
          <w:rtl w:val="0"/>
        </w:rPr>
        <w:t>Ordine pubblico interno e internazionale tra caso concreto e sistema ordinamentale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ESI, 2019, pp. 15-93 ad esclusione delle pp. 78-82.</w:t>
      </w: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III modulo - Prof.ssa Lucia Ruggeri</w:t>
      </w: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Programma: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L’economia dei dati e la tutela della persona</w:t>
      </w:r>
    </w:p>
    <w:p w14:paraId="00000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Testi adottati: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L. Ruggeri, </w:t>
      </w:r>
      <w:r>
        <w:rPr>
          <w:rFonts w:ascii="Times New Roman" w:hAnsi="Times New Roman" w:eastAsia="Times New Roman" w:cs="Times New Roman"/>
          <w:b w:val="0"/>
          <w:i/>
          <w:smallCaps w:val="0"/>
          <w:strike w:val="0"/>
          <w:color w:val="000000"/>
          <w:sz w:val="24"/>
          <w:szCs w:val="24"/>
          <w:u w:val="none"/>
          <w:shd w:val="clear" w:fill="auto"/>
          <w:vertAlign w:val="baseline"/>
          <w:rtl w:val="0"/>
        </w:rPr>
        <w:t>La dicotomia dati personali e dati non personali: il problema della tutela della persona nei c.dd. dati misti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Dir. fam. pers.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2023, pp. 808-832; C. Perlingieri, </w:t>
      </w:r>
      <w:r>
        <w:rPr>
          <w:rFonts w:ascii="Times New Roman" w:hAnsi="Times New Roman" w:eastAsia="Times New Roman" w:cs="Times New Roman"/>
          <w:b w:val="0"/>
          <w:i/>
          <w:smallCaps w:val="0"/>
          <w:strike w:val="0"/>
          <w:color w:val="000000"/>
          <w:sz w:val="24"/>
          <w:szCs w:val="24"/>
          <w:u w:val="none"/>
          <w:shd w:val="clear" w:fill="auto"/>
          <w:vertAlign w:val="baseline"/>
          <w:rtl w:val="0"/>
        </w:rPr>
        <w:t>Data as object of a contract and contract epistomology</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Italian Law Journal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2019, vol. 5 (2), pp. 613-630, consultabile </w:t>
      </w:r>
      <w:r>
        <w:rPr>
          <w:rFonts w:ascii="Times New Roman" w:hAnsi="Times New Roman" w:eastAsia="Times New Roman" w:cs="Times New Roman"/>
          <w:b w:val="0"/>
          <w:i/>
          <w:smallCaps w:val="0"/>
          <w:strike w:val="0"/>
          <w:color w:val="000000"/>
          <w:sz w:val="24"/>
          <w:szCs w:val="24"/>
          <w:u w:val="none"/>
          <w:shd w:val="clear" w:fill="auto"/>
          <w:vertAlign w:val="baseline"/>
          <w:rtl w:val="0"/>
        </w:rPr>
        <w:t>open access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al seguente link: https:/theitalianlawjournal.it/data/uploads/5-italj-2-2019/5-italj-2-2019-full-issue.pdf</w:t>
      </w:r>
    </w:p>
    <w:p w14:paraId="000000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9"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DIRITTO DELLE SUCCESSIONI</w:t>
      </w:r>
    </w:p>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 modulo - Prof. Gabriele Marinaro</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 modulo - Prof. Michele Iannucci</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3"/>
        </w:tabs>
        <w:spacing w:before="0" w:after="0" w:line="449" w:lineRule="auto"/>
        <w:ind w:left="6" w:right="640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 legati.</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Testi adottati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C. Romano,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I legati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R. Calvo e G. Perlingieri (a cura di),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Diritto delle successioni e</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delle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2ª ed., t. II, ESI, 2015, cap. XXVII, pp. 1111-1264; P. Perlingieri e B. Troisi (a cura</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 </w:t>
      </w:r>
      <w:r>
        <w:rPr>
          <w:rFonts w:ascii="Times New Roman" w:hAnsi="Times New Roman" w:eastAsia="Times New Roman" w:cs="Times New Roman"/>
          <w:b w:val="0"/>
          <w:i/>
          <w:smallCaps w:val="0"/>
          <w:strike w:val="0"/>
          <w:color w:val="000000"/>
          <w:sz w:val="24"/>
          <w:szCs w:val="24"/>
          <w:u w:val="none"/>
          <w:shd w:val="clear" w:fill="auto"/>
          <w:vertAlign w:val="baseline"/>
          <w:rtl w:val="0"/>
        </w:rPr>
        <w:t>Codice civile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ESI, ultima ed.; G. Marinaro, </w:t>
      </w:r>
      <w:r>
        <w:rPr>
          <w:rFonts w:ascii="Times New Roman" w:hAnsi="Times New Roman" w:eastAsia="Times New Roman" w:cs="Times New Roman"/>
          <w:b w:val="0"/>
          <w:i/>
          <w:smallCaps w:val="0"/>
          <w:strike w:val="0"/>
          <w:color w:val="000000"/>
          <w:sz w:val="24"/>
          <w:szCs w:val="24"/>
          <w:u w:val="none"/>
          <w:shd w:val="clear" w:fill="auto"/>
          <w:vertAlign w:val="baseline"/>
          <w:rtl w:val="0"/>
        </w:rPr>
        <w:t>La successione necessaria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Trattato di Diritto Civile del Consiglio Nazionale del Notariato diretto da P. Perlingieri, ESI, 2009, capp. IV e V.</w:t>
      </w:r>
    </w:p>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III modulo - Prof. Giovanni Perlingieri</w:t>
      </w:r>
    </w:p>
    <w:p w14:paraId="000000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Nuovi temi e problemi di diritto delle successioni.</w:t>
      </w: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G. Perlingieri,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disposizione testamentaria di arbitrato. Riflessioni in tema di tipicità</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e atipicità nel testamento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Rass.dir.civ</w:t>
      </w:r>
      <w:r>
        <w:rPr>
          <w:rFonts w:ascii="Times New Roman" w:hAnsi="Times New Roman" w:eastAsia="Times New Roman" w:cs="Times New Roman"/>
          <w:b w:val="0"/>
          <w:i/>
          <w:smallCaps w:val="0"/>
          <w:strike w:val="0"/>
          <w:color w:val="000000"/>
          <w:sz w:val="24"/>
          <w:szCs w:val="24"/>
          <w:u w:val="single"/>
          <w:shd w:val="clear" w:fill="auto"/>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2016, pp.459-516; M. Allara,</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La revocazione delle disposizioni testamentarie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(1951), rist., ESI, 2012.</w:t>
      </w:r>
    </w:p>
    <w:p w14:paraId="00000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6"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Letture consigliate: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 Boero,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Il testamento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R. Calvo e G. Perlingieri (a cura di),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Diritto delle</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successioni e delle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 II, 2ª ed., ESI, 2015, pp. 726-861; R. Calvo,</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La revocazione delle disposizioni testamentarie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R. Calvo e G. Perlingieri (a cura di),</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Diritto delle successioni e delle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2ª ed., t. II, ESI, 2015, pp. 1277-1299; G. Recinto,</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Il patto di famiglia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R. Calvo e G.</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Perlingieri (a cura di), </w:t>
      </w:r>
      <w:r>
        <w:rPr>
          <w:rFonts w:ascii="Times New Roman" w:hAnsi="Times New Roman" w:eastAsia="Times New Roman" w:cs="Times New Roman"/>
          <w:b w:val="0"/>
          <w:i/>
          <w:smallCaps w:val="0"/>
          <w:strike w:val="0"/>
          <w:color w:val="000000"/>
          <w:sz w:val="24"/>
          <w:szCs w:val="24"/>
          <w:u w:val="none"/>
          <w:shd w:val="clear" w:fill="auto"/>
          <w:vertAlign w:val="baseline"/>
          <w:rtl w:val="0"/>
        </w:rPr>
        <w:t>Diritto delle successioni e delle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t. I, 2ª ed., ESI, 2015, pp. 671-706.</w:t>
      </w: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6"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bookmarkStart w:id="1" w:name="bookmark=id.30j0zll" w:colFirst="0" w:colLast="0"/>
      <w:bookmarkEnd w:id="1"/>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IV modulo - Prof. Stefano Deplano</w:t>
      </w: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Profili evolutivi della rinuncia all’eredità.</w:t>
      </w:r>
    </w:p>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94"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Teso adottato: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G. Perlingieri,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222222"/>
          <w:sz w:val="24"/>
          <w:szCs w:val="24"/>
          <w:u w:val="none"/>
          <w:shd w:val="clear" w:fill="auto"/>
          <w:vertAlign w:val="baseline"/>
          <w:rtl w:val="0"/>
        </w:rPr>
        <w:t>L'acquisto dell'eredità</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 Sez. II,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222222"/>
          <w:sz w:val="24"/>
          <w:szCs w:val="24"/>
          <w:u w:val="none"/>
          <w:shd w:val="clear" w:fill="auto"/>
          <w:vertAlign w:val="baseline"/>
          <w:rtl w:val="0"/>
        </w:rPr>
        <w:t>La rinunzia all'eredità</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 acquisto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dell’eredità,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 Id. e R. Calvo (a cura di),</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Diritto delle successioni e delle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 2ª ed., ESI, pp.</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351-385.</w:t>
      </w: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V modulo – Prof. Vincenzo Barba</w:t>
      </w:r>
    </w:p>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La successione necessaria.</w:t>
      </w:r>
    </w:p>
    <w:p w14:paraId="00000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Testo adottato: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M.C. Tatarano,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successione necessaria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 G. Perlingieri, R. Calvo,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Diritto delle</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successioni e donazioni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 2ª ed., ESI, 2015, pp. 485-616.</w:t>
      </w:r>
    </w:p>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TEORIA DEI RAPPORTI PATRIMONIALI</w:t>
      </w:r>
    </w:p>
    <w:p w14:paraId="000000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 modulo - Prof. Geremia Romano</w:t>
      </w:r>
    </w:p>
    <w:p w14:paraId="000000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94" w:lineRule="auto"/>
        <w:ind w:left="6"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a) L’obbligazione come vincolo giuridico e come programma da realizzare. I criteri di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determinazione della prestazione dovuta: il comportamento del debitore. La cooperazione del creditore all’adempimento del debitore. b) Inadempimento e onere della prova.</w:t>
      </w:r>
    </w:p>
    <w:p w14:paraId="000000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sul punto a): G. Romano,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Interessi del debitore e adempimento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ESI, 1995, capp. II e</w:t>
      </w:r>
    </w:p>
    <w:p w14:paraId="000000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III; sul punto b): Cass., sez. un., 30 ottobre 2001, n. 13533; Cass., sez. un., 11 gennaio 2008, n. 577; Cass., 11 novembre 2019, nn. 28991-28992.</w:t>
      </w: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46"/>
        </w:tabs>
        <w:spacing w:before="0" w:after="0" w:line="469" w:lineRule="auto"/>
        <w:ind w:left="6" w:right="5400" w:firstLine="0"/>
        <w:jc w:val="left"/>
        <w:rPr>
          <w:rFonts w:ascii="Times New Roman" w:hAnsi="Times New Roman" w:eastAsia="Times New Roman" w:cs="Times New Roman"/>
          <w:b w:val="0"/>
          <w:i w:val="0"/>
          <w:smallCaps w:val="0"/>
          <w:strike w:val="0"/>
          <w:color w:val="000000"/>
          <w:sz w:val="23"/>
          <w:szCs w:val="23"/>
          <w:u w:val="none"/>
          <w:shd w:val="clear" w:fill="auto"/>
          <w:vertAlign w:val="baseline"/>
        </w:rPr>
      </w:pPr>
      <w:r>
        <w:rPr>
          <w:rFonts w:ascii="Times New Roman" w:hAnsi="Times New Roman" w:eastAsia="Times New Roman" w:cs="Times New Roman"/>
          <w:b/>
          <w:i w:val="0"/>
          <w:smallCaps w:val="0"/>
          <w:strike w:val="0"/>
          <w:color w:val="000000"/>
          <w:sz w:val="23"/>
          <w:szCs w:val="23"/>
          <w:u w:val="none"/>
          <w:shd w:val="clear" w:fill="auto"/>
          <w:vertAlign w:val="baseline"/>
          <w:rtl w:val="0"/>
        </w:rPr>
        <w:t xml:space="preserve">II modulo - Prof. Enrico Caterini </w:t>
      </w: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Iniziativa economica e principio ecologista.</w:t>
      </w: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222222"/>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Testo adottato: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E. Caterini, Sostenibilità ambientale e diritto civile, ESI, 2024</w:t>
      </w:r>
      <w:r>
        <w:rPr>
          <w:rFonts w:ascii="Times New Roman" w:hAnsi="Times New Roman" w:eastAsia="Times New Roman" w:cs="Times New Roman"/>
          <w:b w:val="0"/>
          <w:i w:val="0"/>
          <w:smallCaps w:val="0"/>
          <w:strike w:val="0"/>
          <w:color w:val="222222"/>
          <w:sz w:val="24"/>
          <w:szCs w:val="24"/>
          <w:u w:val="none"/>
          <w:shd w:val="clear" w:fill="auto"/>
          <w:vertAlign w:val="baseline"/>
          <w:rtl w:val="0"/>
        </w:rPr>
        <w:t xml:space="preserve"> (in corso di pubblicazione).</w:t>
      </w:r>
    </w:p>
    <w:p w14:paraId="000000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14:paraId="000000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69" w:lineRule="auto"/>
        <w:ind w:left="6" w:right="434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III modulo - Prof.ssa Emanuela Migliaccio Programma: </w:t>
      </w:r>
      <w:bookmarkStart w:id="2" w:name="bookmark=id.1fob9te" w:colFirst="0" w:colLast="0"/>
      <w:bookmarkEnd w:id="2"/>
      <w:r>
        <w:rPr>
          <w:rFonts w:ascii="Times New Roman" w:hAnsi="Times New Roman" w:eastAsia="Times New Roman" w:cs="Times New Roman"/>
          <w:b w:val="0"/>
          <w:i w:val="0"/>
          <w:smallCaps w:val="0"/>
          <w:strike w:val="0"/>
          <w:color w:val="000000"/>
          <w:sz w:val="24"/>
          <w:szCs w:val="24"/>
          <w:u w:val="none"/>
          <w:shd w:val="clear" w:fill="auto"/>
          <w:vertAlign w:val="baseline"/>
          <w:rtl w:val="0"/>
        </w:rPr>
        <w:t>Responsabilità patrimoniale.</w:t>
      </w:r>
    </w:p>
    <w:p w14:paraId="0000005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Testo adottato: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E. Migliaccio,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La responsabilità patrimoniale. Profili di sistema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ESI, 2012, pp. 1-49.</w:t>
      </w:r>
    </w:p>
    <w:p w14:paraId="000000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IV modulo - Prof.ssa Maddalena Semeraro</w:t>
      </w:r>
    </w:p>
    <w:p w14:paraId="000000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L’obbligazione pecuniaria.</w:t>
      </w:r>
    </w:p>
    <w:p w14:paraId="000000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94"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M. Semeraro,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Pagamento e forme di circolazione della moneta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ESI, 2008 (solo le</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Premesse e il Cap. I); Id., </w:t>
      </w:r>
      <w:r>
        <w:rPr>
          <w:rFonts w:ascii="Times New Roman" w:hAnsi="Times New Roman" w:eastAsia="Times New Roman" w:cs="Times New Roman"/>
          <w:b w:val="0"/>
          <w:i/>
          <w:smallCaps w:val="0"/>
          <w:strike w:val="0"/>
          <w:color w:val="000000"/>
          <w:sz w:val="24"/>
          <w:szCs w:val="24"/>
          <w:u w:val="none"/>
          <w:shd w:val="clear" w:fill="auto"/>
          <w:vertAlign w:val="baseline"/>
          <w:rtl w:val="0"/>
        </w:rPr>
        <w:t>Equilibrio del contratto e del rapporto nel c.d. anatocismo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bancario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in</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Rass. cir. civ.</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2011, p. 974 ss.; Id., </w:t>
      </w:r>
      <w:r>
        <w:rPr>
          <w:rFonts w:ascii="Times New Roman" w:hAnsi="Times New Roman" w:eastAsia="Times New Roman" w:cs="Times New Roman"/>
          <w:b w:val="0"/>
          <w:i/>
          <w:smallCaps w:val="0"/>
          <w:strike w:val="0"/>
          <w:color w:val="000000"/>
          <w:sz w:val="24"/>
          <w:szCs w:val="24"/>
          <w:u w:val="none"/>
          <w:shd w:val="clear" w:fill="auto"/>
          <w:vertAlign w:val="baseline"/>
          <w:rtl w:val="0"/>
        </w:rPr>
        <w:t>Moneta, obbligazioni pecuniarie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(file fornito dalla prof.ssa); Id., </w:t>
      </w:r>
      <w:r>
        <w:rPr>
          <w:rFonts w:ascii="Times New Roman" w:hAnsi="Times New Roman" w:eastAsia="Times New Roman" w:cs="Times New Roman"/>
          <w:b w:val="0"/>
          <w:i/>
          <w:smallCaps w:val="0"/>
          <w:strike w:val="0"/>
          <w:color w:val="000000"/>
          <w:sz w:val="24"/>
          <w:szCs w:val="24"/>
          <w:u w:val="none"/>
          <w:shd w:val="clear" w:fill="auto"/>
          <w:vertAlign w:val="baseline"/>
          <w:rtl w:val="0"/>
        </w:rPr>
        <w:t>Moneta legale, moneta virtuale e rilevanza dei conflitti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Riv. dir. bancario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2019, p. 237 ss.; Id., </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Anatocismo bancario, divieto di anatocismo e relativo ambito di operatività,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 </w:t>
      </w:r>
      <w:r>
        <w:rPr>
          <w:rFonts w:ascii="Times New Roman" w:hAnsi="Times New Roman" w:eastAsia="Times New Roman" w:cs="Times New Roman"/>
          <w:b w:val="0"/>
          <w:i/>
          <w:smallCaps w:val="0"/>
          <w:strike w:val="0"/>
          <w:color w:val="000000"/>
          <w:sz w:val="24"/>
          <w:szCs w:val="24"/>
          <w:u w:val="none"/>
          <w:shd w:val="clear" w:fill="auto"/>
          <w:vertAlign w:val="baseline"/>
          <w:rtl w:val="0"/>
        </w:rPr>
        <w:t>Riv. dir. bancario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2017, p. 175 ss.; Id., </w:t>
      </w:r>
      <w:r>
        <w:rPr>
          <w:rFonts w:ascii="Times New Roman" w:hAnsi="Times New Roman" w:eastAsia="Times New Roman" w:cs="Times New Roman"/>
          <w:b w:val="0"/>
          <w:i/>
          <w:smallCaps w:val="0"/>
          <w:strike w:val="0"/>
          <w:color w:val="000000"/>
          <w:sz w:val="24"/>
          <w:szCs w:val="24"/>
          <w:u w:val="none"/>
          <w:shd w:val="clear" w:fill="auto"/>
          <w:vertAlign w:val="baseline"/>
          <w:rtl w:val="0"/>
        </w:rPr>
        <w:t>Usura e interessi moratori. Presupposti concettuali e decisioni recenti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Dir. mercato. assicurativo finanziario, 2021, p. 133 ss.</w:t>
      </w:r>
    </w:p>
    <w:p w14:paraId="0000005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V modulo - Prof. Francesco Sbordone</w:t>
      </w:r>
    </w:p>
    <w:p w14:paraId="000000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222222"/>
          <w:sz w:val="24"/>
          <w:szCs w:val="24"/>
          <w:highlight w:val="white"/>
          <w:u w:val="none"/>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222222"/>
          <w:sz w:val="24"/>
          <w:szCs w:val="24"/>
          <w:highlight w:val="white"/>
          <w:u w:val="none"/>
          <w:vertAlign w:val="baseline"/>
          <w:rtl w:val="0"/>
        </w:rPr>
        <w:t>La causa liberale.</w:t>
      </w:r>
    </w:p>
    <w:p w14:paraId="00000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222222"/>
          <w:sz w:val="24"/>
          <w:szCs w:val="24"/>
          <w:highlight w:val="white"/>
          <w:u w:val="none"/>
          <w:vertAlign w:val="baseline"/>
        </w:rPr>
      </w:pPr>
    </w:p>
    <w:p w14:paraId="0000006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Testi adottati: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 Torrente, </w:t>
      </w:r>
      <w:r>
        <w:rPr>
          <w:rFonts w:ascii="Times New Roman" w:hAnsi="Times New Roman" w:eastAsia="Times New Roman" w:cs="Times New Roman"/>
          <w:b w:val="0"/>
          <w:i/>
          <w:smallCaps w:val="0"/>
          <w:strike w:val="0"/>
          <w:color w:val="000000"/>
          <w:sz w:val="24"/>
          <w:szCs w:val="24"/>
          <w:u w:val="none"/>
          <w:shd w:val="clear" w:fill="auto"/>
          <w:vertAlign w:val="baseline"/>
          <w:rtl w:val="0"/>
        </w:rPr>
        <w:t>La donazione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Tratt. di dir. civ. e comm. Cicu e Messineo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2ª ed., a</w:t>
      </w:r>
    </w:p>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cura di U. Carnevali e A. Mora, Milano, 2006, da pag. 211 a 248; F. Sbordone, </w:t>
      </w:r>
      <w:r>
        <w:rPr>
          <w:rFonts w:ascii="Times New Roman" w:hAnsi="Times New Roman" w:eastAsia="Times New Roman" w:cs="Times New Roman"/>
          <w:b w:val="0"/>
          <w:i/>
          <w:smallCaps w:val="0"/>
          <w:strike w:val="0"/>
          <w:color w:val="000000"/>
          <w:sz w:val="24"/>
          <w:szCs w:val="24"/>
          <w:u w:val="none"/>
          <w:shd w:val="clear" w:fill="auto"/>
          <w:vertAlign w:val="baseline"/>
          <w:rtl w:val="0"/>
        </w:rPr>
        <w:t>La donazione mista</w:t>
      </w:r>
    </w:p>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come negozio giuridico indiretto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Aa.Vv., </w:t>
      </w:r>
      <w:r>
        <w:rPr>
          <w:rFonts w:ascii="Times New Roman" w:hAnsi="Times New Roman" w:eastAsia="Times New Roman" w:cs="Times New Roman"/>
          <w:b w:val="0"/>
          <w:i/>
          <w:smallCaps w:val="0"/>
          <w:strike w:val="0"/>
          <w:color w:val="000000"/>
          <w:sz w:val="24"/>
          <w:szCs w:val="24"/>
          <w:u w:val="none"/>
          <w:shd w:val="clear" w:fill="auto"/>
          <w:vertAlign w:val="baseline"/>
          <w:rtl w:val="0"/>
        </w:rPr>
        <w:t>Maestri italiani del Diritto Civile: Domenico Rubino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Napoli, 2009, da pag. 829 a 849; F. Sbordone, </w:t>
      </w:r>
      <w:r>
        <w:rPr>
          <w:rFonts w:ascii="Times New Roman" w:hAnsi="Times New Roman" w:eastAsia="Times New Roman" w:cs="Times New Roman"/>
          <w:b w:val="0"/>
          <w:i/>
          <w:smallCaps w:val="0"/>
          <w:strike w:val="0"/>
          <w:color w:val="000000"/>
          <w:sz w:val="24"/>
          <w:szCs w:val="24"/>
          <w:u w:val="none"/>
          <w:shd w:val="clear" w:fill="auto"/>
          <w:vertAlign w:val="baseline"/>
          <w:rtl w:val="0"/>
        </w:rPr>
        <w:t>Riflessioni sulla revocazione della donazione a causa</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smallCaps w:val="0"/>
          <w:strike w:val="0"/>
          <w:color w:val="000000"/>
          <w:sz w:val="24"/>
          <w:szCs w:val="24"/>
          <w:u w:val="none"/>
          <w:shd w:val="clear" w:fill="auto"/>
          <w:vertAlign w:val="baseline"/>
          <w:rtl w:val="0"/>
        </w:rPr>
        <w:t>di ingratitudine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Rass. dir. civ</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2000, p. 572 ss.</w:t>
      </w:r>
    </w:p>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rPr>
      </w:pPr>
      <w:r>
        <w:rPr>
          <w:rFonts w:ascii="Times New Roman" w:hAnsi="Times New Roman" w:eastAsia="Times New Roman" w:cs="Times New Roman"/>
          <w:rtl w:val="0"/>
        </w:rPr>
        <w:t xml:space="preserve"> </w:t>
      </w:r>
    </w:p>
    <w:p w14:paraId="00000066">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VI modulo - Professoressa Alessia Fachechi</w:t>
      </w:r>
    </w:p>
    <w:p w14:paraId="00000067">
      <w:pPr>
        <w:rPr>
          <w:rFonts w:ascii="Times New Roman" w:hAnsi="Times New Roman" w:eastAsia="Times New Roman" w:cs="Times New Roman"/>
          <w:b/>
          <w:sz w:val="24"/>
          <w:szCs w:val="24"/>
        </w:rPr>
      </w:pPr>
    </w:p>
    <w:p w14:paraId="00000068">
      <w:pPr>
        <w:rPr>
          <w:rFonts w:ascii="Times New Roman" w:hAnsi="Times New Roman" w:eastAsia="Times New Roman" w:cs="Times New Roman"/>
          <w:sz w:val="24"/>
          <w:szCs w:val="24"/>
        </w:rPr>
      </w:pPr>
      <w:r>
        <w:rPr>
          <w:rFonts w:ascii="Times New Roman" w:hAnsi="Times New Roman" w:eastAsia="Times New Roman" w:cs="Times New Roman"/>
          <w:color w:val="222222"/>
          <w:sz w:val="26"/>
          <w:szCs w:val="26"/>
          <w:highlight w:val="white"/>
          <w:rtl w:val="0"/>
        </w:rPr>
        <w:t xml:space="preserve">A. Fachechi, </w:t>
      </w:r>
      <w:r>
        <w:rPr>
          <w:rFonts w:ascii="Times New Roman" w:hAnsi="Times New Roman" w:eastAsia="Times New Roman" w:cs="Times New Roman"/>
          <w:i/>
          <w:sz w:val="26"/>
          <w:szCs w:val="26"/>
          <w:highlight w:val="white"/>
          <w:rtl w:val="0"/>
        </w:rPr>
        <w:t>A margine del «Contributo allo studio delle clausole di esonero da responsabilità»</w:t>
      </w:r>
      <w:r>
        <w:rPr>
          <w:rFonts w:ascii="Times New Roman" w:hAnsi="Times New Roman" w:eastAsia="Times New Roman" w:cs="Times New Roman"/>
          <w:sz w:val="26"/>
          <w:szCs w:val="26"/>
          <w:highlight w:val="white"/>
          <w:rtl w:val="0"/>
        </w:rPr>
        <w:t xml:space="preserve"> </w:t>
      </w:r>
      <w:r>
        <w:rPr>
          <w:rFonts w:ascii="Times New Roman" w:hAnsi="Times New Roman" w:eastAsia="Times New Roman" w:cs="Times New Roman"/>
          <w:i/>
          <w:sz w:val="26"/>
          <w:szCs w:val="26"/>
          <w:highlight w:val="white"/>
          <w:rtl w:val="0"/>
        </w:rPr>
        <w:t>di Francesco Benatti</w:t>
      </w:r>
      <w:r>
        <w:rPr>
          <w:rFonts w:ascii="Times New Roman" w:hAnsi="Times New Roman" w:eastAsia="Times New Roman" w:cs="Times New Roman"/>
          <w:sz w:val="26"/>
          <w:szCs w:val="26"/>
          <w:highlight w:val="white"/>
          <w:rtl w:val="0"/>
        </w:rPr>
        <w:t xml:space="preserve">, in F. Benatti, </w:t>
      </w:r>
      <w:r>
        <w:rPr>
          <w:rFonts w:ascii="Times New Roman" w:hAnsi="Times New Roman" w:eastAsia="Times New Roman" w:cs="Times New Roman"/>
          <w:i/>
          <w:sz w:val="26"/>
          <w:szCs w:val="26"/>
          <w:highlight w:val="white"/>
          <w:rtl w:val="0"/>
        </w:rPr>
        <w:t>Contributo allo studio delle clausole di esonero da responsabilità</w:t>
      </w:r>
      <w:r>
        <w:rPr>
          <w:rFonts w:ascii="Times New Roman" w:hAnsi="Times New Roman" w:eastAsia="Times New Roman" w:cs="Times New Roman"/>
          <w:sz w:val="26"/>
          <w:szCs w:val="26"/>
          <w:highlight w:val="white"/>
          <w:rtl w:val="0"/>
        </w:rPr>
        <w:t xml:space="preserve"> (1917), rist. 2022, Edizioni Scientifiche Italiane, Napoli</w:t>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6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0" w:right="0" w:firstLine="0"/>
        <w:jc w:val="left"/>
        <w:rPr>
          <w:rFonts w:ascii="Times New Roman" w:hAnsi="Times New Roman" w:eastAsia="Times New Roman" w:cs="Times New Roman"/>
          <w:b/>
          <w:sz w:val="24"/>
          <w:szCs w:val="24"/>
          <w:u w:val="single"/>
        </w:rPr>
      </w:pPr>
    </w:p>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0" w:right="0" w:firstLine="0"/>
        <w:jc w:val="left"/>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TEORIA DELL’INTERPRETAZIONE</w:t>
      </w:r>
    </w:p>
    <w:p w14:paraId="000000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6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 modulo - Prof. Pietro Perlingieri</w:t>
      </w:r>
    </w:p>
    <w:p w14:paraId="000000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5"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L’ermeneutica giuridica e le sue funzioni. Interpretazione a fini applicativi: fatto e norma</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nell’ermeneutica giuridica. Il ruolo della dottrina e della giurisprudenza. Storicità e relatività delle metodologie ermeneutiche alla luce della loro adeguatezza all’architettura dell’ordinamento. Sistema delle fonti e interpretazione: unitarietà e complessità dell’ordinamento giuridico. Primato della Costituzione e funzione ordinante dei princìpi nell’individuazione della regola del caso concreto.</w:t>
      </w:r>
    </w:p>
    <w:p w14:paraId="000000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 modulo - Prof. Pasquale Femia</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Interpretazione sistematica e assiologica. Interpretazione della legge e sue regole. L’art.</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12 disp. prel. c.c. e l’interpretazione per gradi: sua incompatibilità con la gerarchia delle fonti vigente. L’interpretazione sistematica e assiologica quale superamento dell’interpretazione letterale. Analogia e applicazione diretta dei princìpi al caso concreto.</w:t>
      </w:r>
    </w:p>
    <w:p w14:paraId="0000007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III modulo - Prof.ssa Erika Giorgini</w:t>
      </w:r>
    </w:p>
    <w:p w14:paraId="0000007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5"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Il modulo, mediante l’analisi di alcuni casi concreti, si propone di mettere in luce il ruolo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del principio di ragionevolezza nell’ermeneutica giuridica. In particolare, si porrà l’attenzione sul contenuto e la portata applicativa della ragionevolezza nel bilanciamento in concreto. Da ultimo, verrà indagata l’incidenza della ragionevolezza nell’àmbito dell’autonomia negoziale: rilettura del rapporto tra princípi e clausole generali.</w:t>
      </w:r>
    </w:p>
    <w:p w14:paraId="000000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8" w:lineRule="auto"/>
        <w:ind w:left="0" w:right="0" w:firstLine="0"/>
        <w:jc w:val="both"/>
        <w:rPr>
          <w:rFonts w:ascii="Times New Roman" w:hAnsi="Times New Roman" w:eastAsia="Times New Roman" w:cs="Times New Roman"/>
          <w:b w:val="0"/>
          <w:i w:val="0"/>
          <w:smallCaps w:val="0"/>
          <w:strike w:val="0"/>
          <w:color w:val="FF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Testi adottati per la preparazione dell’esame dell’intero insegnamento: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 Perlingieri,</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Interpretazione e legalità costituzionale. Antologia per una didattica progredita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ESI, 2012; ID, </w:t>
      </w:r>
      <w:r>
        <w:rPr>
          <w:rFonts w:ascii="Times New Roman" w:hAnsi="Times New Roman" w:eastAsia="Times New Roman" w:cs="Times New Roman"/>
          <w:b w:val="0"/>
          <w:i/>
          <w:smallCaps w:val="0"/>
          <w:strike w:val="0"/>
          <w:color w:val="000000"/>
          <w:sz w:val="24"/>
          <w:szCs w:val="24"/>
          <w:u w:val="none"/>
          <w:shd w:val="clear" w:fill="auto"/>
          <w:vertAlign w:val="baseline"/>
          <w:rtl w:val="0"/>
        </w:rPr>
        <w:t>Il diritto civile nella legalità costituzionale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 ed., Napoli, 2020.</w:t>
      </w:r>
    </w:p>
    <w:p w14:paraId="000000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0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Letture facoltative di approfondimento (moduli I, II, III)</w:t>
      </w:r>
    </w:p>
    <w:p w14:paraId="0000007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Gli specializzandi che intendano studiare l’impatto</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metodologico esercitato dalle pronunce della Corte costituzionale, nei primi cinquant’anni di attività dell’organo, sulle tecniche di argomentazione adoperate dalla dottrina e dalla giurisprudenza, possono dedicarsi alla lettura del seguente volume: P. Femia (a cura di), </w:t>
      </w:r>
      <w:r>
        <w:rPr>
          <w:rFonts w:ascii="Times New Roman" w:hAnsi="Times New Roman" w:eastAsia="Times New Roman" w:cs="Times New Roman"/>
          <w:b w:val="0"/>
          <w:i/>
          <w:smallCaps w:val="0"/>
          <w:strike w:val="0"/>
          <w:color w:val="000000"/>
          <w:sz w:val="24"/>
          <w:szCs w:val="24"/>
          <w:u w:val="none"/>
          <w:shd w:val="clear" w:fill="auto"/>
          <w:vertAlign w:val="baseline"/>
          <w:rtl w:val="0"/>
        </w:rPr>
        <w:t>Interpretazione a fini applicativi 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smallCaps w:val="0"/>
          <w:strike w:val="0"/>
          <w:color w:val="000000"/>
          <w:sz w:val="24"/>
          <w:szCs w:val="24"/>
          <w:u w:val="none"/>
          <w:shd w:val="clear" w:fill="auto"/>
          <w:vertAlign w:val="baseline"/>
          <w:rtl w:val="0"/>
        </w:rPr>
        <w:t>legittimità costituzionale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collana “Cinquanta anni della Corte costituzionale”, ESI, 2006.</w:t>
      </w:r>
    </w:p>
    <w:p w14:paraId="000000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FF0000"/>
          <w:sz w:val="24"/>
          <w:szCs w:val="24"/>
          <w:u w:val="none"/>
          <w:shd w:val="clear" w:fill="auto"/>
          <w:vertAlign w:val="baseline"/>
        </w:rPr>
      </w:pPr>
    </w:p>
    <w:p w14:paraId="0000007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IV modulo – Prof.ssa Arianna Alpini</w:t>
      </w:r>
    </w:p>
    <w:p w14:paraId="000000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Programma: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Diritto italo-europeo e principi identificativi. Evoluzione dei rapporti italo-europei. La procedimentalizzazione dei controlimiti. L’identità costituzionale nazionale come leva dialogica della dinamica interpretativa.</w:t>
      </w:r>
    </w:p>
    <w:p w14:paraId="000000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8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Letture facoltative di approfondimento:</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 Alpini, </w:t>
      </w:r>
      <w:r>
        <w:rPr>
          <w:rFonts w:ascii="Times New Roman" w:hAnsi="Times New Roman" w:eastAsia="Times New Roman" w:cs="Times New Roman"/>
          <w:b w:val="0"/>
          <w:i/>
          <w:smallCaps w:val="0"/>
          <w:strike w:val="0"/>
          <w:color w:val="000000"/>
          <w:sz w:val="24"/>
          <w:szCs w:val="24"/>
          <w:u w:val="none"/>
          <w:shd w:val="clear" w:fill="auto"/>
          <w:vertAlign w:val="baseline"/>
          <w:rtl w:val="0"/>
        </w:rPr>
        <w:t>Dall’ordinamento al “Sistema ordinamentale”. Il “Diritto italo-europeo” e la svolta di Pietro Perlingieri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w:t>
      </w:r>
      <w:r>
        <w:rPr>
          <w:rFonts w:ascii="Times New Roman" w:hAnsi="Times New Roman" w:eastAsia="Times New Roman" w:cs="Times New Roman"/>
          <w:b w:val="0"/>
          <w:i/>
          <w:smallCaps w:val="0"/>
          <w:strike w:val="0"/>
          <w:color w:val="000000"/>
          <w:sz w:val="24"/>
          <w:szCs w:val="24"/>
          <w:u w:val="none"/>
          <w:shd w:val="clear" w:fill="auto"/>
          <w:vertAlign w:val="baseline"/>
          <w:rtl w:val="0"/>
        </w:rPr>
        <w:t>Annali Sisdic</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10/2023, pp. 135-159; F. Episcopo, </w:t>
      </w:r>
      <w:r>
        <w:rPr>
          <w:rFonts w:ascii="Times New Roman" w:hAnsi="Times New Roman" w:eastAsia="Times New Roman" w:cs="Times New Roman"/>
          <w:b w:val="0"/>
          <w:i/>
          <w:smallCaps w:val="0"/>
          <w:strike w:val="0"/>
          <w:color w:val="000000"/>
          <w:sz w:val="24"/>
          <w:szCs w:val="24"/>
          <w:u w:val="none"/>
          <w:shd w:val="clear" w:fill="auto"/>
          <w:vertAlign w:val="baseline"/>
          <w:rtl w:val="0"/>
        </w:rPr>
        <w:t>Diritto italo-europeo e principi identificativi</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in D. Mantucci, G. Perlingieri e M. D’Ambrosio (a cura di), </w:t>
      </w:r>
      <w:r>
        <w:rPr>
          <w:rFonts w:ascii="Times New Roman" w:hAnsi="Times New Roman" w:eastAsia="Times New Roman" w:cs="Times New Roman"/>
          <w:b w:val="0"/>
          <w:i/>
          <w:smallCaps w:val="0"/>
          <w:strike w:val="0"/>
          <w:color w:val="000000"/>
          <w:sz w:val="24"/>
          <w:szCs w:val="24"/>
          <w:u w:val="none"/>
          <w:shd w:val="clear" w:fill="auto"/>
          <w:vertAlign w:val="baseline"/>
          <w:rtl w:val="0"/>
        </w:rPr>
        <w:t>Dibattito sulle ricerche della dottrina civilistica nel biennio 2017-2018, Scuola estiva dell’Associazione dei dottorati di diritto privato, 11-14 settembre 2019 - Università Politecnica delle Marche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Napoli, pp. 65-77.</w:t>
      </w:r>
    </w:p>
    <w:sectPr>
      <w:pgSz w:w="12240" w:h="15840"/>
      <w:pgMar w:top="1395" w:right="1140" w:bottom="1440" w:left="1140" w:header="0"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5C89427D"/>
    <w:rsid w:val="7567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lang w:val="it-IT"/>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 w:type="paragraph" w:customStyle="1" w:styleId="13">
    <w:name w:val="Normale"/>
    <w:uiPriority w:val="0"/>
    <w:pPr>
      <w:suppressAutoHyphens/>
      <w:spacing w:line="1" w:lineRule="atLeast"/>
      <w:ind w:leftChars="-1" w:rightChars="0" w:hangingChars="1"/>
      <w:textAlignment w:val="top"/>
      <w:outlineLvl w:val="0"/>
    </w:pPr>
    <w:rPr>
      <w:rFonts w:ascii="Calibri" w:hAnsi="Calibri" w:eastAsia="Calibri" w:cs="Calibri"/>
      <w:w w:val="100"/>
      <w:position w:val="-1"/>
      <w:vertAlign w:val="baseline"/>
      <w:cs w:val="0"/>
      <w:lang w:val="it-IT" w:eastAsia="it-IT" w:bidi="ar-SA"/>
    </w:rPr>
  </w:style>
  <w:style w:type="character" w:customStyle="1" w:styleId="14">
    <w:name w:val="Car. predefinito paragrafo"/>
    <w:qFormat/>
    <w:uiPriority w:val="0"/>
    <w:rPr>
      <w:w w:val="100"/>
      <w:position w:val="-1"/>
      <w:vertAlign w:val="baseline"/>
      <w:cs w:val="0"/>
    </w:rPr>
  </w:style>
  <w:style w:type="table" w:customStyle="1" w:styleId="15">
    <w:name w:val="Tabella normale"/>
    <w:qFormat/>
    <w:uiPriority w:val="0"/>
    <w:pPr>
      <w:suppressAutoHyphens/>
      <w:spacing w:line="1" w:lineRule="atLeast"/>
      <w:ind w:leftChars="-1" w:rightChars="0" w:hangingChars="1"/>
      <w:textAlignment w:val="top"/>
      <w:outlineLvl w:val="0"/>
    </w:pPr>
    <w:rPr>
      <w:w w:val="100"/>
      <w:position w:val="-1"/>
      <w:vertAlign w:val="baseline"/>
      <w:cs w:val="0"/>
    </w:rPr>
  </w:style>
  <w:style w:type="paragraph" w:customStyle="1" w:styleId="16">
    <w:name w:val="Testo fumetto"/>
    <w:basedOn w:val="13"/>
    <w:qFormat/>
    <w:uiPriority w:val="0"/>
    <w:pPr>
      <w:suppressAutoHyphens/>
      <w:spacing w:line="1" w:lineRule="atLeast"/>
      <w:ind w:leftChars="-1" w:rightChars="0" w:hangingChars="1"/>
      <w:textAlignment w:val="top"/>
      <w:outlineLvl w:val="0"/>
    </w:pPr>
    <w:rPr>
      <w:rFonts w:ascii="Segoe UI" w:hAnsi="Segoe UI" w:cs="Segoe UI"/>
      <w:w w:val="100"/>
      <w:position w:val="-1"/>
      <w:sz w:val="18"/>
      <w:szCs w:val="18"/>
      <w:vertAlign w:val="baseline"/>
      <w:cs w:val="0"/>
      <w:lang w:val="it-IT" w:eastAsia="it-IT" w:bidi="ar-SA"/>
    </w:rPr>
  </w:style>
  <w:style w:type="character" w:customStyle="1" w:styleId="17">
    <w:name w:val="Testo fumetto Carattere"/>
    <w:uiPriority w:val="0"/>
    <w:rPr>
      <w:rFonts w:ascii="Segoe UI" w:hAnsi="Segoe UI" w:cs="Segoe UI"/>
      <w:w w:val="100"/>
      <w:position w:val="-1"/>
      <w:sz w:val="18"/>
      <w:szCs w:val="18"/>
      <w:vertAlign w:val="baseline"/>
      <w:cs w:val="0"/>
    </w:rPr>
  </w:style>
  <w:style w:type="paragraph" w:customStyle="1" w:styleId="18">
    <w:name w:val="Nessuna spaziatura"/>
    <w:uiPriority w:val="0"/>
    <w:pPr>
      <w:suppressAutoHyphens/>
      <w:spacing w:line="1" w:lineRule="atLeast"/>
      <w:ind w:leftChars="-1" w:rightChars="0" w:hangingChars="1"/>
      <w:textAlignment w:val="top"/>
      <w:outlineLvl w:val="0"/>
    </w:pPr>
    <w:rPr>
      <w:rFonts w:ascii="Calibri" w:hAnsi="Calibri" w:eastAsia="Calibri" w:cs="Calibri"/>
      <w:w w:val="100"/>
      <w:position w:val="-1"/>
      <w:vertAlign w:val="baseline"/>
      <w:cs w:val="0"/>
      <w:lang w:val="it-IT" w:eastAsia="it-IT"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sZOGg8DuNL2OBsbYaEbw4zWBg==">CgMxLjAyCWlkLmdqZGd4czIKaWQuMzBqMHpsbDIKaWQuMWZvYjl0ZTgAciExTVkxRXJpaUo5Y041Z3Q4WS04WDktUFJNalhxMzk4Zmo=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2025-03-09T17:57:00Z</dcterms:created>
  <dc:creator>Rossano Giri</dc:creator>
  <cp:lastModifiedBy>Rossano Giri</cp:lastModifiedBy>
  <dcterms:modified xsi:type="dcterms:W3CDTF">2025-05-28T10:50:53Z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F2CCF203B4894B5ABC0DFC3462AFF504_13</vt:lpwstr>
  </property>
</Properties>
</file>